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4" w:rsidRPr="00D3463A" w:rsidRDefault="00D84234" w:rsidP="00D8423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/>
          <w:color w:val="2E74B5"/>
          <w:sz w:val="12"/>
          <w:szCs w:val="12"/>
          <w:lang w:val="pl-PL"/>
        </w:rPr>
      </w:pPr>
      <w:bookmarkStart w:id="0" w:name="_GoBack"/>
      <w:bookmarkEnd w:id="0"/>
      <w:r>
        <w:rPr>
          <w:rStyle w:val="normaltextrun"/>
          <w:rFonts w:ascii="Calibri Light" w:hAnsi="Calibri Light"/>
          <w:color w:val="2E74B5"/>
          <w:sz w:val="32"/>
          <w:szCs w:val="32"/>
          <w:lang w:val="pl-PL"/>
        </w:rPr>
        <w:t xml:space="preserve">Nie ma konieczności stosowania </w:t>
      </w:r>
      <w:r w:rsidRPr="00D3463A">
        <w:rPr>
          <w:rStyle w:val="normaltextrun"/>
          <w:rFonts w:ascii="Calibri Light" w:hAnsi="Calibri Light"/>
          <w:color w:val="2E74B5"/>
          <w:sz w:val="32"/>
          <w:szCs w:val="32"/>
          <w:lang w:val="pl-PL"/>
        </w:rPr>
        <w:t>ludzkich embrionów</w:t>
      </w:r>
      <w:r>
        <w:rPr>
          <w:rStyle w:val="normaltextrun"/>
          <w:rFonts w:ascii="Calibri Light" w:hAnsi="Calibri Light"/>
          <w:color w:val="2E74B5"/>
          <w:sz w:val="32"/>
          <w:szCs w:val="32"/>
          <w:lang w:val="pl-PL"/>
        </w:rPr>
        <w:t xml:space="preserve"> w medycynie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eop"/>
          <w:rFonts w:ascii="Calibri" w:hAnsi="Calibri"/>
          <w:sz w:val="22"/>
          <w:szCs w:val="22"/>
          <w:lang w:val="pl-PL"/>
        </w:rPr>
        <w:t>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10 kwietnia 2014 r. w Parlamencie Europejskim odbyła się publiczna debata na temat drugiej europejskiej inicjatywy obywatelskiej (ECI) pt. "One of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Us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" ("Jeden z nas"), co stanowiło zakończenie postępowania prawnego. Ta historyczna inicjatywa obywatelska była drugą, której udało się osiągnąć wymagany milion podpisów, ale pozostaje pierwszą pod względem ilości zebranych głosów poparcia (dwa miliony), jak również </w:t>
      </w:r>
      <w:r>
        <w:rPr>
          <w:rStyle w:val="normaltextrun"/>
          <w:rFonts w:ascii="Calibri" w:hAnsi="Calibri"/>
          <w:sz w:val="22"/>
          <w:szCs w:val="22"/>
          <w:lang w:val="pl-PL"/>
        </w:rPr>
        <w:t>największą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, gdy weźmie się pod uwagę ilość krajów, z których owe poparcie pochodziło (20 z 28 krajów członkowskich EU).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Celem niniejszej </w:t>
      </w:r>
      <w:r>
        <w:rPr>
          <w:rStyle w:val="normaltextrun"/>
          <w:rFonts w:ascii="Calibri" w:hAnsi="Calibri"/>
          <w:sz w:val="22"/>
          <w:szCs w:val="22"/>
          <w:lang w:val="pl-PL"/>
        </w:rPr>
        <w:t>i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nicjatywy obywatelskiej jest zaprzestanie przydzielania funduszy unijnych projektom badawczym, których przebieg zawiera lub zakłada niszczenie ludzkich embrionów; jak również przeznaczenie tych środków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Wspólnoty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na potrzeby etycznych projektów badawczych, w których godność ludzka jest respektowana.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Jako pracownicy badawczy wykorzystujący w pracy komórki macierzyste chcemy wyrazić nasze wsparcie dla niniejszej petycji adresowanej do Komisji Europejskiej, jako że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inicjatywa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jest dla nas uzasadniona z naukowego punktu widzenia oraz niezbędna ze względów etycznych. </w:t>
      </w:r>
    </w:p>
    <w:p w:rsidR="00D84234" w:rsidRPr="00D3463A" w:rsidRDefault="00D84234" w:rsidP="00D84234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Badania na ludzkich embrionach: dwadzieścia lat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eksperymentów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nie przyniosło rezultatów.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eop"/>
          <w:rFonts w:ascii="Calibri" w:hAnsi="Calibri"/>
          <w:sz w:val="22"/>
          <w:szCs w:val="22"/>
          <w:lang w:val="pl-PL"/>
        </w:rPr>
        <w:t>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W chwili obecnej naukowcy mają możliwość wykorzystania embrionów ludzkich na trzy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 dostępne sposoby. Pierwszym jest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prowadzenie badań nad rozwojem embrionalnym. W praktyce we wszelkich badaniach tego rodzaju wykorzystuje się komórki pochodzenia zwierzęcego, np. musze, małpie bądź mysie.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eop"/>
          <w:rFonts w:ascii="Calibri" w:hAnsi="Calibri"/>
          <w:sz w:val="22"/>
          <w:szCs w:val="22"/>
          <w:lang w:val="pl-PL"/>
        </w:rPr>
        <w:t>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Embriony ludzkie są także pożądane w celach modelowania patologii oraz obrazowania molekularnego,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czyli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procedur stanowiących fundamentalne etapy odkrywania leków. Społeczność naukowa, włączając w to naukowców zajmujących się embrionami, jest zgodna co do tego, że dla celów modelowania patologii i obrazowania molekularnego komórki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iPS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(indukowane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pluripotencjalne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komórki macierzyste, odkryte przez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Shinya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Yamanaka'ę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, któremu w 2012 r. przyznano za to osiągnięcie Nagrodę Nobla w dziedzinie fizjologii lub medycyny) mają te same właściwości, co komórki macierzyste pochodzące z embrionów </w:t>
      </w:r>
      <w:r>
        <w:rPr>
          <w:rStyle w:val="normaltextrun"/>
          <w:rFonts w:ascii="Calibri" w:hAnsi="Calibri"/>
          <w:sz w:val="22"/>
          <w:szCs w:val="22"/>
          <w:lang w:val="pl-PL"/>
        </w:rPr>
        <w:t>ludzkich. Jedyną możliwą zaletą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przemawia</w:t>
      </w:r>
      <w:r>
        <w:rPr>
          <w:rStyle w:val="normaltextrun"/>
          <w:rFonts w:ascii="Calibri" w:hAnsi="Calibri"/>
          <w:sz w:val="22"/>
          <w:szCs w:val="22"/>
          <w:lang w:val="pl-PL"/>
        </w:rPr>
        <w:t>jącą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za użyciem embrionalnych komórek macierzystych zamiast komórek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iPS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bądź modeli pochodzenia zwierzęcego jest związany z nimi mniejszy koszt, co stanowi istotny czynnik dla przemysłu farmaceutycznego.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Trzecim z obszarów, gdzie embrionalne komórki macierzyste mogą znaleźć zastosowanie jest medycyna regeneracyjna</w:t>
      </w:r>
      <w:r>
        <w:rPr>
          <w:rStyle w:val="normaltextrun"/>
          <w:rFonts w:ascii="Calibri" w:hAnsi="Calibri"/>
          <w:sz w:val="22"/>
          <w:szCs w:val="22"/>
          <w:lang w:val="pl-PL"/>
        </w:rPr>
        <w:t>,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wykorzystująca terapie komórkowe z użyciem przeszczepów komórek macierzystych. W obrębie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medycyny regeneracyjnej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komórki macierzyste pochodzenia embrionalnego są często przedstawiane jako jedyna możliwość leczenia niektórych chorób, co nie jest prawdą. Komórki macierzyste pozyskiwane od dorosłych, komórki macierzyste pochodzące z krwi pępowinowej oraz komórki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iPS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stanowią realistyczną alternatywę mającą możliwość zastosowania w medycynie regeneracyjnej - te dwa pierwsze rodzaje komórek mają potwierdzone działanie lecznicze w przypadkach określonych patologii. Poza tym, komórki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iPS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pochodzące bezpośrednio od danego pacjenta otwierają możliwości dla medycyny spersonalizowanej, jako że można je utworzyć w sposób odpowiadający indywidualnym potrzebom pacjenta, pozwalający na analizę i leczenie jego choroby. Jest to niemożliwe do uzyskania z wykorzystaniem embrionalnych komórek macierzystych, które z definicji nie pochodzą od pacjenta.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Ciekawym faktem jest to, że dwadzieścia lat badań z wykorzystaniem komórek macierzystych ludzkich embrionów nie przyniosło ani jednego przypadku udanej terapii. Do tej pory zainicjowano jedynie trzy eksperymenty kliniczne - pierwszy z nich, przeprowadzony w Stanach Zjednoczonych przez firmę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Geron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, został powstrzymany, jako że jego wyniki nie były wystarczająco przekonujące. Z drugiej strony, w Japonii jest już w trakcie realizacji jeden eksperyment kliniczny z wykorzystaniem komórek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iPS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, pomimo tego, że technologia ta jest relatywnie nowa. Eksperyment ów dotyczy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lastRenderedPageBreak/>
        <w:t xml:space="preserve">komórek skóry przeprogramowanych na regenerację komórek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upigmentowanych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 nabłonka siatkówki w celu leczenia pacjentów cierpiących na wysiękową postać związanego z wiekiem zwyrodnienia plamki (ARMD). </w:t>
      </w:r>
    </w:p>
    <w:p w:rsidR="00D84234" w:rsidRPr="00D3463A" w:rsidRDefault="00D84234" w:rsidP="00D84234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Szacunek dla godności ludzkiej: fundamentalne standardy etyczne badań naukowych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W żadnym wypadku nie można doprowadzić do społecznej akceptacji faktu utylizacji embrionów ludzkich, tak jak nie można dopuścić do uprzemysłowienia tego procesu. Wsparcie finansowe Unii Europejskiej przydzielane projektom badawczym o minimalnych standardach etycznych zwiększa ryzyko wystąpienia pogoni za zyskiem - kosztem wartości etycznych, takich jak szacunek dla życia ludzkiego czy kwestii związanych ze środowiskiem naturalnym, które to powinny stanowić podstawę dla wszelkich badań naukowych.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Obecnie w Unii Europejskiej panuje trend promowania w badaniach wysokich standardów etycznych w celu zmniejszenia ryzyka grożącego pacjentom, jak również w celu etycznego traktowania zwierząt wykorzystywanych do celów badawczych. Mając to na uwadze, finansowanie przez Unię Europejską badań, które w swoim przebiegu koniecznie zakładają systematyczną utylizację embrion</w:t>
      </w:r>
      <w:r>
        <w:rPr>
          <w:rStyle w:val="normaltextrun"/>
          <w:rFonts w:ascii="Calibri" w:hAnsi="Calibri"/>
          <w:sz w:val="22"/>
          <w:szCs w:val="22"/>
          <w:lang w:val="pl-PL"/>
        </w:rPr>
        <w:t>ów ludzkich, będących przecież „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jednymi z nas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”,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wydaje się </w:t>
      </w:r>
      <w:r>
        <w:rPr>
          <w:rStyle w:val="normaltextrun"/>
          <w:rFonts w:ascii="Calibri" w:hAnsi="Calibri"/>
          <w:sz w:val="22"/>
          <w:szCs w:val="22"/>
          <w:lang w:val="pl-PL"/>
        </w:rPr>
        <w:t>zastanawiające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Doświadczamy właśnie paradoksu obecnego w polityce badań naukowych na poziomie europejskim - embriony pochodzące od zwierząt są chronione w większym stopniu niż embriony ludzkie. Dyrektywa Parlamentu Europejskiego i Unii Europejskiej w sprawie ochrony zwierząt wykorzystywanych do celów naukowych (2010/63/UE) ma za cel redukcję i zastąpienie wykorzystania zwierząt dla celów badawczych bądź edukacyjnych, włączając w to "formy embrionalne i płodowe", innymi metodami, wśród których odnaleźć można </w:t>
      </w:r>
      <w:r>
        <w:rPr>
          <w:rStyle w:val="normaltextrun"/>
          <w:rFonts w:ascii="Calibri" w:hAnsi="Calibri"/>
          <w:sz w:val="22"/>
          <w:szCs w:val="22"/>
          <w:lang w:val="pl-PL"/>
        </w:rPr>
        <w:t xml:space="preserve">także </w:t>
      </w:r>
      <w:r w:rsidRPr="00D3463A">
        <w:rPr>
          <w:rStyle w:val="normaltextrun"/>
          <w:rFonts w:ascii="Calibri" w:hAnsi="Calibri"/>
          <w:sz w:val="22"/>
          <w:szCs w:val="22"/>
          <w:lang w:val="pl-PL"/>
        </w:rPr>
        <w:t>embriony ludzkie.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 xml:space="preserve">Z tego właśnie powodu, jako naukowcy, wyrażamy nasze wsparcie dla europejskiej inicjatywy obywatelskiej "One of </w:t>
      </w:r>
      <w:proofErr w:type="spellStart"/>
      <w:r w:rsidRPr="00D3463A">
        <w:rPr>
          <w:rStyle w:val="normaltextrun"/>
          <w:rFonts w:ascii="Calibri" w:hAnsi="Calibri"/>
          <w:sz w:val="22"/>
          <w:szCs w:val="22"/>
          <w:lang w:val="pl-PL"/>
        </w:rPr>
        <w:t>Us</w:t>
      </w:r>
      <w:proofErr w:type="spellEnd"/>
      <w:r w:rsidRPr="00D3463A">
        <w:rPr>
          <w:rStyle w:val="normaltextrun"/>
          <w:rFonts w:ascii="Calibri" w:hAnsi="Calibri"/>
          <w:sz w:val="22"/>
          <w:szCs w:val="22"/>
          <w:lang w:val="pl-PL"/>
        </w:rPr>
        <w:t>", żądając wprowadzenia wysokich standardów etycznych w badaniach naukowych.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eop"/>
          <w:rFonts w:ascii="Calibri" w:hAnsi="Calibri"/>
          <w:sz w:val="22"/>
          <w:szCs w:val="22"/>
          <w:lang w:val="pl-PL"/>
        </w:rPr>
        <w:t>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  <w:lang w:val="pl-PL"/>
        </w:rPr>
      </w:pPr>
      <w:r w:rsidRPr="00D3463A">
        <w:rPr>
          <w:rStyle w:val="normaltextrun"/>
          <w:rFonts w:ascii="Calibri" w:hAnsi="Calibri"/>
          <w:sz w:val="22"/>
          <w:szCs w:val="22"/>
          <w:lang w:val="pl-PL"/>
        </w:rPr>
        <w:t>Sygnatariusze: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Prof. Alain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Privat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, neurobiolog, członek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Académie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nationale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de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Médecine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(Francja)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Dr Justo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Aznar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, dyrektor Instytutu Nauk Przyrodniczych, Katolicki Uniwersytet w Walencji (Hiszpania)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Dr Nicolas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Jouve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de la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Barreda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, specjalista genetyki, Instytut  Biologii Komórkowej i Genetyki, Wydział  Biologii, Uniwersytet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Alcala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de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Henares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(Hiszpania)</w:t>
      </w:r>
    </w:p>
    <w:p w:rsidR="00D84234" w:rsidRPr="003F4AF1" w:rsidRDefault="00D84234" w:rsidP="00D8423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12"/>
          <w:szCs w:val="12"/>
          <w:lang w:val="es-ES_tradn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Profesor bioetyki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Elena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Postigo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Solana, Uniwersytet CEU San Pablo (Hiszpania)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Profesor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Mónica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López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Barahona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- Kierownik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Centurm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Studiów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Biosanitarnych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, bioetyk (Hiszpania) 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Profesor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Salvino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Leone, Położnictwo i Ginekologia, Uniwersytet LUMSA (Włochy)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Dr Miguel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Blanquer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Blanquer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, Hematolog, Oddział Terapii Komórkowej, Szpital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Virgen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de la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Arrixaca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(Hiszpania) </w:t>
      </w:r>
    </w:p>
    <w:p w:rsidR="00D84234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Profesor Blanca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Lopez-Ibor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Aliño</w:t>
      </w:r>
      <w:proofErr w:type="spellEnd"/>
      <w:r w:rsidRPr="00D3463A"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, pediatra onkolog (Hiszpania)</w:t>
      </w:r>
    </w:p>
    <w:p w:rsidR="00D84234" w:rsidRPr="00D3463A" w:rsidRDefault="00D84234" w:rsidP="00D842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- Profesor Bogdan </w:t>
      </w: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>Chazan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  <w:t xml:space="preserve">, </w:t>
      </w:r>
      <w:r w:rsidRPr="00DE3275">
        <w:rPr>
          <w:rFonts w:asciiTheme="minorHAnsi" w:hAnsiTheme="minorHAnsi" w:cs="Arial"/>
          <w:b/>
          <w:color w:val="252525"/>
          <w:sz w:val="22"/>
          <w:szCs w:val="22"/>
          <w:shd w:val="clear" w:color="auto" w:fill="FFFFFF"/>
        </w:rPr>
        <w:t>członek komisji problemowych Regionalnego Biura Europejskiego</w:t>
      </w:r>
      <w:r w:rsidRPr="00DE3275">
        <w:rPr>
          <w:rStyle w:val="apple-converted-space"/>
          <w:rFonts w:asciiTheme="minorHAnsi" w:hAnsiTheme="minorHAnsi" w:cs="Arial"/>
          <w:b/>
          <w:color w:val="252525"/>
          <w:sz w:val="22"/>
          <w:szCs w:val="22"/>
          <w:shd w:val="clear" w:color="auto" w:fill="FFFFFF"/>
        </w:rPr>
        <w:t> </w:t>
      </w:r>
      <w:r w:rsidRPr="00DE3275">
        <w:rPr>
          <w:rFonts w:asciiTheme="minorHAnsi" w:hAnsiTheme="minorHAnsi" w:cs="Arial"/>
          <w:b/>
          <w:sz w:val="22"/>
          <w:szCs w:val="22"/>
          <w:shd w:val="clear" w:color="auto" w:fill="FFFFFF"/>
        </w:rPr>
        <w:t>Światowej Organizacji Zdrowia</w:t>
      </w:r>
      <w:r w:rsidRPr="00DE3275">
        <w:rPr>
          <w:rStyle w:val="apple-converted-space"/>
          <w:rFonts w:asciiTheme="minorHAnsi" w:hAnsiTheme="minorHAnsi" w:cs="Arial"/>
          <w:b/>
          <w:color w:val="252525"/>
          <w:sz w:val="22"/>
          <w:szCs w:val="22"/>
          <w:shd w:val="clear" w:color="auto" w:fill="FFFFFF"/>
        </w:rPr>
        <w:t> </w:t>
      </w:r>
      <w:r w:rsidRPr="00DE3275">
        <w:rPr>
          <w:rFonts w:asciiTheme="minorHAnsi" w:hAnsiTheme="minorHAnsi" w:cs="Arial"/>
          <w:b/>
          <w:color w:val="252525"/>
          <w:sz w:val="22"/>
          <w:szCs w:val="22"/>
          <w:shd w:val="clear" w:color="auto" w:fill="FFFFFF"/>
        </w:rPr>
        <w:t>i</w:t>
      </w:r>
      <w:r w:rsidRPr="00DE3275">
        <w:rPr>
          <w:rStyle w:val="apple-converted-space"/>
          <w:rFonts w:asciiTheme="minorHAnsi" w:hAnsiTheme="minorHAnsi" w:cs="Arial"/>
          <w:b/>
          <w:color w:val="252525"/>
          <w:sz w:val="22"/>
          <w:szCs w:val="22"/>
          <w:shd w:val="clear" w:color="auto" w:fill="FFFFFF"/>
        </w:rPr>
        <w:t> </w:t>
      </w:r>
      <w:r w:rsidRPr="00DE3275">
        <w:rPr>
          <w:rFonts w:asciiTheme="minorHAnsi" w:hAnsiTheme="minorHAnsi" w:cs="Arial"/>
          <w:b/>
          <w:sz w:val="22"/>
          <w:szCs w:val="22"/>
          <w:shd w:val="clear" w:color="auto" w:fill="FFFFFF"/>
        </w:rPr>
        <w:t>Rady Europy</w:t>
      </w:r>
    </w:p>
    <w:p w:rsidR="00D84234" w:rsidRPr="00DA570B" w:rsidRDefault="00D84234" w:rsidP="00D84234">
      <w:pPr>
        <w:rPr>
          <w:lang w:val="es-ES_tradnl"/>
        </w:rPr>
      </w:pPr>
    </w:p>
    <w:p w:rsidR="00594020" w:rsidRDefault="00594020"/>
    <w:sectPr w:rsidR="00594020" w:rsidSect="0062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C5"/>
    <w:multiLevelType w:val="multilevel"/>
    <w:tmpl w:val="78AE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52B42"/>
    <w:multiLevelType w:val="multilevel"/>
    <w:tmpl w:val="5BF2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234"/>
    <w:rsid w:val="00594020"/>
    <w:rsid w:val="00D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34"/>
    <w:rPr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8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Domylnaczcionkaakapitu"/>
    <w:rsid w:val="00D84234"/>
  </w:style>
  <w:style w:type="character" w:customStyle="1" w:styleId="apple-converted-space">
    <w:name w:val="apple-converted-space"/>
    <w:basedOn w:val="Domylnaczcionkaakapitu"/>
    <w:rsid w:val="00D84234"/>
  </w:style>
  <w:style w:type="character" w:customStyle="1" w:styleId="eop">
    <w:name w:val="eop"/>
    <w:basedOn w:val="Domylnaczcionkaakapitu"/>
    <w:rsid w:val="00D8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987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2014-06-06T10:25:00Z</dcterms:created>
  <dcterms:modified xsi:type="dcterms:W3CDTF">2014-06-06T10:27:00Z</dcterms:modified>
</cp:coreProperties>
</file>